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23 213 vom 2. September 2025</w:t>
      </w:r>
    </w:p>
    <w:p>
      <w:r>
        <w:t>VS Kantonsgericht, 2025-09-02, FR</w:t>
      </w:r>
    </w:p>
    <w:p>
      <w:r>
        <w:rPr>
          <w:b/>
        </w:rPr>
        <w:t xml:space="preserve">Quelle: </w:t>
      </w:r>
      <w:r>
        <w:t>https://mcp.opencaselaw.ch/entscheid/vs_gerichte_S1 23 213</w:t>
      </w:r>
    </w:p>
    <w:p>
      <w:r>
        <w:t>FR: VS_GERICHTE S1 23 213 du 2 septembre 2025</w:t>
      </w:r>
    </w:p>
    <w:p>
      <w:r>
        <w:t>IT: VS_GERICHTE S1 23 213 del 2 settembre 2025</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14 décembre 2023, le recours à l’encontre de la décision du 21 novembre précédent a été interjeté dans le délai légal de trente jours (art. 38 al. 3 et 60 LPGA), et devant l'instance compétente (art. 56 et 57 LPGA ; 69 al. 1 let. a LAI ; art. 81a al. 1 LPJA).</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de la date de la décision entreprise et des faits déterminants pour le refus d’entrer en matière, c’est cette nouvelle loi qui s’applique.</w:t>
      </w:r>
    </w:p>
    <w:p>
      <w:r>
        <w:rPr>
          <w:b/>
        </w:rPr>
        <w:t>E. 2.1</w:t>
      </w:r>
    </w:p>
    <w:p>
      <w:r>
        <w:t>Le litige porte sur le point de savoir si c’est à bon droit que l’intimé n’a pas retenu qu’une aggravation de l’état de santé du recourant avait été rendue plausible et, partant, a refusé d’entrer en matière sur sa nouvelle demande du 17 mai 2023.</w:t>
      </w:r>
    </w:p>
    <w:p>
      <w:r>
        <w:rPr>
          <w:b/>
        </w:rPr>
        <w:t>E. 2.2</w:t>
      </w:r>
    </w:p>
    <w:p>
      <w:r>
        <w:t>Selon l'article 17 LPGA (dans sa version en vigueur depuis le 1er janvier 2022), applicable par analogie à l’examen matériel d’une nouvelle demande (ATF 133 V 108 consid. 5), si le taux d’invalidité du bénéficiaire de la rente subit une modification d’au moins 5 points de pourcentage ou atteint 100%,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RAI. Selon l'article 87 alinéa 2 RAI dans sa teneur en vigueur dès le 1er janvier 2012, lorsqu’une demande de révision est déposée, celle-ci doit établir de façon plausible que l’invalidité, l’impotence ou l’étendue du besoin de soins ou du besoin d’aide découlant de l’invalidité de l’assuré</w:t>
      </w:r>
    </w:p>
    <w:p>
      <w:r>
        <w:t>- 8 -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L'exigence posée à l'article 87 alinéa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et 117 V 198 consid. 4b ; arrêt du Tribunal fédéral 9C_789/2012 du 27 juillet 2013 consid. 2.1).</w:t>
      </w:r>
    </w:p>
    <w:p>
      <w:r>
        <w:rPr>
          <w:b/>
        </w:rPr>
        <w:t>E. 2.3</w:t>
      </w:r>
    </w:p>
    <w:p>
      <w:r>
        <w:t>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130 V 64 consid. 2 et 130 V 71 consid. 3.2.3). Le principe inquisitoire ne s'appliquant pas à cette procédure, l'administration doit en effet se limiter uniquement à examiner si les allégations de l'intéressé à l'appui de sa nouvelle demande sont crédibles (ATF 130 V 64 consid. 5.2.5).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w:t>
      </w:r>
    </w:p>
    <w:p>
      <w:r>
        <w:t>- 9 - consid. 5.2.5 ; arrêts du Tribunal fédéral 9C_265/2017 du 14 juin 2017 consid. 5.2, 8C_308/2015 du 8 octobre 2015 consid. 3.2 et 9C_789/2012 du 27 juillet 2013 consid. 2.3).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(ATF 130 V 64 consid. 5.2.5 ; arrêts du Tribunal fédéral 9C_596/2021 du 13 octobre 2022 consid. 4.2, 9C_629/2020 du 6 juillet 2021 consid. 4.3.1 et 9C_959/2011 du 6 août 2012 consid. 1.3 et 4.3).</w:t>
      </w:r>
    </w:p>
    <w:p>
      <w:r>
        <w:rPr>
          <w:b/>
        </w:rPr>
        <w:t>E. 2.4</w:t>
      </w:r>
    </w:p>
    <w:p>
      <w:r>
        <w:t>Dans le cas d’espèce, il convient d’examiner si le recourant a rendu plausible, au moment de la notification de la décision entreprise du 21 novembre 2023, une aggravation de son état de santé depuis la dernière décision du 7 mars 2022 lui ayant refusé tout droit à une rente et à d’autres mesures d’ordre professionnel et reposant sur un examen matériel complet du droit à des prestations AI.</w:t>
      </w:r>
    </w:p>
    <w:p>
      <w:r>
        <w:rPr>
          <w:b/>
        </w:rPr>
        <w:t>E. 2.4.1</w:t>
      </w:r>
    </w:p>
    <w:p>
      <w:r>
        <w:t>A titre liminaire, il est rappelé que le fait pour l’intimé d’avoir requis l’avis du SMR ne signifie pas encore qu’il est entré en matière sur la demande de révision du recourant. En effet, même s'il appartient à l'assuré qui introduit une nouvelle demande de rendre plausible que son invalidité s'est modifiée, l’OAI reste libre de prendre lui-même des mesures limitées pour clarifier la situation, sans qu'on puisse déjà en déduire qu'il est entré en matière sur cette demande. Il peut ainsi, comme en l'espèce, obtenir l'avis d'un médecin du SMR (arrêts du Tribunal fédéral 9C_472/2016 du 29 novembre 2016 consid. 4.2 et 9C_789/2012 du 27 juillet 2013 consid. 3) ou, lorsque la demande repose sur un simple certificat du médecin traitant, s'adresser à ce médecin pour obtenir un rapport complet (arrêt du Tribunal fédéral 8C_844/2012 du 5 juin 2013 consid. 2.1 et les arrêts cités).</w:t>
      </w:r>
    </w:p>
    <w:p>
      <w:r>
        <w:rPr>
          <w:b/>
        </w:rPr>
        <w:t>E. 2.4.2</w:t>
      </w:r>
    </w:p>
    <w:p>
      <w:r>
        <w:t>On relèvera ensuite que l’examen auquel le Tribunal doit procéder ne peut pas tenir compte des rapports déposés postérieurement à la décision litigieuse du 21 novembre 2023, à savoir le rapport des Drs I _________ et H _________ du 14 février 2024, conformément à la jurisprudence rappelée ci-dessus (cf. supra consid. 2.3). Le recourant a au demeurant été invité, durant la procédure administrative, à produire toute pièce médicale pouvant rendre plausible une modification de sa situation. Il a encore eu l’opportunité de le faire dans le cadre de ses objections à l’encontre du projet de décision du 26 juillet 2023 l’informant qu’il ne serait pas entré en matière sur sa nouvelle demande. Par conséquent, une éventuelle aggravation sur la base du rapport</w:t>
      </w:r>
    </w:p>
    <w:p>
      <w:r>
        <w:t>- 10 - des Drs I _________ et H _________ du 14 février 2024, déposé au stade du recours, ne peut pas être examinée dans la présente procédure.</w:t>
      </w:r>
    </w:p>
    <w:p>
      <w:r>
        <w:rPr>
          <w:b/>
        </w:rPr>
        <w:t>E. 2.4.3</w:t>
      </w:r>
    </w:p>
    <w:p>
      <w:r>
        <w:t>Lors de sa décision du 7 mars 2022, l’OAI s’est surtout fondé sur l’expertise du B _________ et sur l’avis de son SMR. L’intéressé présentait les diagnostics incapacitants de malvoyance sévère, de glaucome congénital et de nystagmus congénital ainsi que les diagnostics sans incidence sur la capacité de travail de pseudophakie bilatérale, de pseudopresbytie, de strabisme secondaire divergeant et de taie cornéenne. Une capacité de travail à plein temps avec une baisse de rendement de 30% a été admise dans l’activité habituelle d’employé de commerce.</w:t>
      </w:r>
    </w:p>
    <w:p>
      <w:r>
        <w:rPr>
          <w:b/>
        </w:rPr>
        <w:t>E. 2.4.4</w:t>
      </w:r>
    </w:p>
    <w:p>
      <w:r>
        <w:t>Dans le cadre de sa nouvelle demande du 17 mai 2023, le recourant a produit un certificat médical du 14 février 2023 de la Dresse H _________ ainsi que deux rapports du 5 juillet 2023 et du 11 octobre 2023 des Drs I _________ et H _________. Les médecins traitants ont retenu une impotence visuelle sévère liée à un glaucome congénital bilatéral. L’acuité visuelle était très pauvre à gauche et la vision était limitée au mouvement de la main à l’œil droit. Ils ont ajouté que la pression oculaire et le status de l’œil gauche étaient stables. Comme l’a relevé le SMR, force est de constater que les médecins traitants n’ont décrit aucun élément médical objectif nouveau par rapport à 2021, puisqu’ils n’ont pas posé de nouveau diagnostic, que le status et l’acuité visuelle de l’œil gauche, qui est le seul œil voyant, sont inchangés et que la gravissime atteinte du champ visuel, le nystagmus et le traitement anti-glaucomateux étaient déjà connus en 2021. Par ailleurs, le fait que les médecins traitants aient indiqué que leur patient souffrait d’une pathologie avec une évolution défavorable au cours de sa vie ne signifie aucunement qu’une aggravation serait intervenue depuis 2022. Le recourant a en outre allégué que la détérioration de sa situation avait également été mise en évidence lors de son stage au G _________. S’il est vrai que la baisse de rendement a été estimée à 50% lors du stage au G _________, alors qu’une diminution de rendement de 30% avait été retenue dans la décision du 7 mars 2022, force est cependant de constater que cette baisse de rendement résulte notamment du fait qu’une partie des outils informatiques utilisés par l’assuré lors de son stage n’ont pas pu être adaptés à ses problèmes de vue. Les limitations constatées lors de son stage ont en effet déjà été mentionnées dans le rapport d’expertise du B _________ de 2021, telles que la difficulté voire l’incapacité de lire un document manuscrit.</w:t>
      </w:r>
    </w:p>
    <w:p>
      <w:r>
        <w:t>- 11 - On relèvera finalement que, conformément à la jurisprudence précitée, le médecin de l’OAI n’avait pas à examiner le recourant, dès lors qu’au cours de cette procédure l’administration doit se limiter uniquement à examiner si les allégations de l’intéressé à l’appui de sa nouvelle demande son crédibles (cf. supra consid. 2.3).</w:t>
      </w:r>
    </w:p>
    <w:p>
      <w:r>
        <w:rPr>
          <w:b/>
        </w:rPr>
        <w:t>E. 2.4.5</w:t>
      </w:r>
    </w:p>
    <w:p>
      <w:r>
        <w:t>Sur la base des éléments à sa disposition le 21 novembre 2023, c’est à juste titre que l’intimé a estimé que le recourant n’avait pas rendu plausible une aggravation de son état de santé. Partant, le recours, mal fondé, doit être rejeté et la décision du 21 novembre 2023 confirmée.</w:t>
      </w:r>
    </w:p>
    <w:p>
      <w:r>
        <w:rPr>
          <w:b/>
        </w:rPr>
        <w:t>E. 3</w:t>
      </w:r>
    </w:p>
    <w:p>
      <w:r>
        <w:t>La demande d’assistance judiciaire totale (S3 24 4) doit également être rejetée. En matière administrative, l’octroi de cette assistance suppose que la cause n’apparaisse pas dépourvue de toute chance de succès (art. 2 al. 1 let. b de la loi valaisanne du 11 février 2009 sur l’assistance judiciaire). Or, les considérants précédents confirment le caractère manifestement mal fondé des arguments avancés à l’encontre de la décision du 21 novembre 2023 de l’OAI. Il apparaît ainsi que les perspectives de gagner le procès étaient notablement plus faibles que les risques de le perdre : dans ces conditions, un plaideur raisonnable ne l'aurait pas engagé à ses frais (ATF 140 V 521 consid. 9.1 ; arrêt du Tribunal fédéral 8C_626/2021 du 19 janvier 2022 consid. 5). En outre, ce refus n’a pas empêché le recourant à pouvoir faire valoir ses droits en justice, l’avance de frais ayant été acquittée.</w:t>
      </w:r>
    </w:p>
    <w:p>
      <w:r>
        <w:rPr>
          <w:b/>
        </w:rPr>
        <w:t>E. 3.1</w:t>
      </w:r>
    </w:p>
    <w:p>
      <w:r>
        <w:t>La procédure de recours en matière de contestation portant sur l'octroi ou le refus de prestations de l'assurance-invalidité devant le tribunal cantonal des assurances est soumise à des frais judiciaires, dont le montant, fixé en fonction de la charge liée à la procédure, oscille entre 200 et 1000 fr. (art. 61 let. fbis LPGA et art. 69 al. 1bis LAI). Eu égard à l’issue de la cause, les frais de justice, par 500 fr., au regard des principes de la couverture des coûts et de l’équivalence, sont mis à la charge du recourant qui succombe et compensés avec l’avance de frais (art. 69 al. 1bis LAI).</w:t>
      </w:r>
    </w:p>
    <w:p>
      <w:r>
        <w:rPr>
          <w:b/>
        </w:rPr>
        <w:t>E. 3.2</w:t>
      </w:r>
    </w:p>
    <w:p>
      <w:r>
        <w:t>Le recourant n’ayant pas eu gain de cause, il ne peut prétendre à des dépens (art. 61 let. g LPGA a contrario), ni d’ailleurs l’OAI (art. 91 al. 3 de la loi valaisanne du</w:t>
      </w:r>
    </w:p>
    <w:p>
      <w:r>
        <w:rPr>
          <w:b/>
        </w:rPr>
        <w:t>E. 6</w:t>
      </w:r>
    </w:p>
    <w:p>
      <w:r>
        <w:t>octobre 1976 sur la procédure et la juridiction administrative).</w:t>
      </w:r>
    </w:p>
    <w:p>
      <w:r>
        <w:t>- 12 -</w:t>
      </w:r>
    </w:p>
    <w:p>
      <w:r>
        <w:t>Prononce 1. Le recours est rejeté. 2. La requête d’assistance judiciaire (S3 24 4) est rejetée. 3. Les frais, par 500 fr., sont mis à la charge de X _________. 4. Il n’est pas alloué de dépens. Sion, le 2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